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9ABE7" w14:textId="44FEF898" w:rsidR="00D64186" w:rsidRDefault="00574C75" w:rsidP="001F0584">
      <w:pPr>
        <w:spacing w:before="240"/>
        <w:jc w:val="center"/>
        <w:rPr>
          <w:rFonts w:ascii="Arial" w:hAnsi="Arial" w:cs="Arial"/>
          <w:b/>
          <w:bCs/>
          <w:color w:val="4472C4" w:themeColor="accent1"/>
          <w:sz w:val="28"/>
          <w:szCs w:val="28"/>
        </w:rPr>
      </w:pPr>
      <w:r w:rsidRPr="00D64186">
        <w:rPr>
          <w:rFonts w:ascii="Arial" w:hAnsi="Arial" w:cs="Arial"/>
          <w:noProof/>
        </w:rPr>
        <w:drawing>
          <wp:anchor distT="0" distB="0" distL="114300" distR="114300" simplePos="0" relativeHeight="251658240" behindDoc="1" locked="0" layoutInCell="1" allowOverlap="1" wp14:anchorId="4F279F03" wp14:editId="696CC171">
            <wp:simplePos x="0" y="0"/>
            <wp:positionH relativeFrom="column">
              <wp:posOffset>3660677</wp:posOffset>
            </wp:positionH>
            <wp:positionV relativeFrom="paragraph">
              <wp:posOffset>152742</wp:posOffset>
            </wp:positionV>
            <wp:extent cx="2736215" cy="2754630"/>
            <wp:effectExtent l="152400" t="152400" r="368935" b="369570"/>
            <wp:wrapSquare wrapText="bothSides"/>
            <wp:docPr id="6" name="Picture 5" descr="A map of philippines with orange dots&#10;&#10;Description automatically generated">
              <a:extLst xmlns:a="http://schemas.openxmlformats.org/drawingml/2006/main">
                <a:ext uri="{FF2B5EF4-FFF2-40B4-BE49-F238E27FC236}">
                  <a16:creationId xmlns:a16="http://schemas.microsoft.com/office/drawing/2014/main" id="{654A20FA-0CA0-94C2-0AC4-A400818CFE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map of philippines with orange dots&#10;&#10;Description automatically generated">
                      <a:extLst>
                        <a:ext uri="{FF2B5EF4-FFF2-40B4-BE49-F238E27FC236}">
                          <a16:creationId xmlns:a16="http://schemas.microsoft.com/office/drawing/2014/main" id="{654A20FA-0CA0-94C2-0AC4-A400818CFEC7}"/>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36215" cy="27546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64186" w:rsidRPr="002D4B7C">
        <w:rPr>
          <w:rFonts w:ascii="Arial" w:hAnsi="Arial" w:cs="Arial"/>
          <w:b/>
          <w:bCs/>
          <w:color w:val="4472C4" w:themeColor="accent1"/>
          <w:sz w:val="28"/>
          <w:szCs w:val="28"/>
        </w:rPr>
        <w:t>BOTILAO COPPER-GOLD PROSPECT</w:t>
      </w:r>
    </w:p>
    <w:p w14:paraId="0388E1DD" w14:textId="2D5C9FE5" w:rsidR="000C4AF5" w:rsidRDefault="00D64186" w:rsidP="00574C75">
      <w:pPr>
        <w:jc w:val="both"/>
        <w:rPr>
          <w:rFonts w:ascii="Arial" w:hAnsi="Arial" w:cs="Arial"/>
        </w:rPr>
      </w:pPr>
      <w:r>
        <w:rPr>
          <w:rFonts w:ascii="Arial" w:hAnsi="Arial" w:cs="Arial"/>
        </w:rPr>
        <w:t xml:space="preserve">The </w:t>
      </w:r>
      <w:proofErr w:type="spellStart"/>
      <w:r>
        <w:rPr>
          <w:rFonts w:ascii="Arial" w:hAnsi="Arial" w:cs="Arial"/>
        </w:rPr>
        <w:t>Botilao</w:t>
      </w:r>
      <w:proofErr w:type="spellEnd"/>
      <w:r>
        <w:rPr>
          <w:rFonts w:ascii="Arial" w:hAnsi="Arial" w:cs="Arial"/>
        </w:rPr>
        <w:t xml:space="preserve"> Porphyry Copper-Gold Prospect is held by Makilala Mining Company, Inc.,</w:t>
      </w:r>
      <w:r w:rsidRPr="00D64186">
        <w:rPr>
          <w:rFonts w:ascii="Arial" w:hAnsi="Arial" w:cs="Arial"/>
        </w:rPr>
        <w:t xml:space="preserve"> </w:t>
      </w:r>
      <w:r>
        <w:rPr>
          <w:rFonts w:ascii="Arial" w:hAnsi="Arial" w:cs="Arial"/>
        </w:rPr>
        <w:t xml:space="preserve">Celsius’ Resources’ Philippine </w:t>
      </w:r>
      <w:r w:rsidR="00574C75">
        <w:rPr>
          <w:rFonts w:ascii="Arial" w:hAnsi="Arial" w:cs="Arial"/>
        </w:rPr>
        <w:t>subsidiary,</w:t>
      </w:r>
      <w:r>
        <w:rPr>
          <w:rFonts w:ascii="Arial" w:hAnsi="Arial" w:cs="Arial"/>
        </w:rPr>
        <w:t xml:space="preserve"> which </w:t>
      </w:r>
      <w:proofErr w:type="gramStart"/>
      <w:r>
        <w:rPr>
          <w:rFonts w:ascii="Arial" w:hAnsi="Arial" w:cs="Arial"/>
        </w:rPr>
        <w:t>is located in</w:t>
      </w:r>
      <w:proofErr w:type="gramEnd"/>
      <w:r>
        <w:rPr>
          <w:rFonts w:ascii="Arial" w:hAnsi="Arial" w:cs="Arial"/>
        </w:rPr>
        <w:t xml:space="preserve"> the Cordillera Administrative Region, approximately 320km north of Manila. It is a prospect within the Makilala portfolio with a tenement area of 947.67 hectares, southwest of the MCB Project.</w:t>
      </w:r>
    </w:p>
    <w:p w14:paraId="174BF339" w14:textId="5B19A251" w:rsidR="00574C75" w:rsidRDefault="00574C75" w:rsidP="00574C75">
      <w:pPr>
        <w:jc w:val="both"/>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52C95C2E" wp14:editId="594AEB2F">
                <wp:simplePos x="0" y="0"/>
                <wp:positionH relativeFrom="margin">
                  <wp:posOffset>3644753</wp:posOffset>
                </wp:positionH>
                <wp:positionV relativeFrom="paragraph">
                  <wp:posOffset>1136650</wp:posOffset>
                </wp:positionV>
                <wp:extent cx="2783694" cy="386861"/>
                <wp:effectExtent l="0" t="0" r="0" b="0"/>
                <wp:wrapNone/>
                <wp:docPr id="58983682" name="Text Box 2"/>
                <wp:cNvGraphicFramePr/>
                <a:graphic xmlns:a="http://schemas.openxmlformats.org/drawingml/2006/main">
                  <a:graphicData uri="http://schemas.microsoft.com/office/word/2010/wordprocessingShape">
                    <wps:wsp>
                      <wps:cNvSpPr txBox="1"/>
                      <wps:spPr>
                        <a:xfrm>
                          <a:off x="0" y="0"/>
                          <a:ext cx="2783694" cy="386861"/>
                        </a:xfrm>
                        <a:prstGeom prst="rect">
                          <a:avLst/>
                        </a:prstGeom>
                        <a:solidFill>
                          <a:schemeClr val="lt1"/>
                        </a:solidFill>
                        <a:ln w="6350">
                          <a:noFill/>
                        </a:ln>
                      </wps:spPr>
                      <wps:txbx>
                        <w:txbxContent>
                          <w:p w14:paraId="4C76BC64" w14:textId="6AFC3F43" w:rsidR="002D4B7C" w:rsidRPr="001F0584" w:rsidRDefault="002D4B7C" w:rsidP="002D4B7C">
                            <w:pPr>
                              <w:jc w:val="center"/>
                              <w:rPr>
                                <w:rFonts w:ascii="Arial" w:hAnsi="Arial" w:cs="Arial"/>
                                <w:i/>
                                <w:iCs/>
                                <w:color w:val="4472C4" w:themeColor="accent1"/>
                                <w:sz w:val="20"/>
                                <w:szCs w:val="20"/>
                                <w:lang w:val="en-US"/>
                              </w:rPr>
                            </w:pPr>
                            <w:r w:rsidRPr="001F0584">
                              <w:rPr>
                                <w:rFonts w:ascii="Arial" w:hAnsi="Arial" w:cs="Arial"/>
                                <w:i/>
                                <w:iCs/>
                                <w:color w:val="4472C4" w:themeColor="accent1"/>
                                <w:sz w:val="20"/>
                                <w:szCs w:val="20"/>
                                <w:lang w:val="en-US"/>
                              </w:rPr>
                              <w:t xml:space="preserve">Location map of the </w:t>
                            </w:r>
                            <w:proofErr w:type="spellStart"/>
                            <w:r w:rsidRPr="001F0584">
                              <w:rPr>
                                <w:rFonts w:ascii="Arial" w:hAnsi="Arial" w:cs="Arial"/>
                                <w:i/>
                                <w:iCs/>
                                <w:color w:val="4472C4" w:themeColor="accent1"/>
                                <w:sz w:val="20"/>
                                <w:szCs w:val="20"/>
                                <w:lang w:val="en-US"/>
                              </w:rPr>
                              <w:t>Botilao</w:t>
                            </w:r>
                            <w:proofErr w:type="spellEnd"/>
                            <w:r w:rsidRPr="001F0584">
                              <w:rPr>
                                <w:rFonts w:ascii="Arial" w:hAnsi="Arial" w:cs="Arial"/>
                                <w:i/>
                                <w:iCs/>
                                <w:color w:val="4472C4" w:themeColor="accent1"/>
                                <w:sz w:val="20"/>
                                <w:szCs w:val="20"/>
                                <w:lang w:val="en-US"/>
                              </w:rPr>
                              <w:t xml:space="preserve"> Prospect in</w:t>
                            </w:r>
                            <w:r w:rsidR="00574C75">
                              <w:rPr>
                                <w:rFonts w:ascii="Arial" w:hAnsi="Arial" w:cs="Arial"/>
                                <w:i/>
                                <w:iCs/>
                                <w:color w:val="4472C4" w:themeColor="accent1"/>
                                <w:sz w:val="20"/>
                                <w:szCs w:val="20"/>
                                <w:lang w:val="en-US"/>
                              </w:rPr>
                              <w:t xml:space="preserve"> </w:t>
                            </w:r>
                            <w:r w:rsidRPr="001F0584">
                              <w:rPr>
                                <w:rFonts w:ascii="Arial" w:hAnsi="Arial" w:cs="Arial"/>
                                <w:i/>
                                <w:iCs/>
                                <w:color w:val="4472C4" w:themeColor="accent1"/>
                                <w:sz w:val="20"/>
                                <w:szCs w:val="20"/>
                                <w:lang w:val="en-US"/>
                              </w:rPr>
                              <w:t>Northern Luzon, Philippines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C95C2E" id="_x0000_t202" coordsize="21600,21600" o:spt="202" path="m,l,21600r21600,l21600,xe">
                <v:stroke joinstyle="miter"/>
                <v:path gradientshapeok="t" o:connecttype="rect"/>
              </v:shapetype>
              <v:shape id="Text Box 2" o:spid="_x0000_s1026" type="#_x0000_t202" style="position:absolute;left:0;text-align:left;margin-left:287pt;margin-top:89.5pt;width:219.2pt;height:30.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" fillcolor="white [3201]" stroked="f" strokeweight=".5pt">
                <v:textbox>
                  <w:txbxContent>
                    <w:p w14:paraId="4C76BC64" w14:textId="6AFC3F43" w:rsidR="002D4B7C" w:rsidRPr="001F0584" w:rsidRDefault="002D4B7C" w:rsidP="002D4B7C">
                      <w:pPr>
                        <w:jc w:val="center"/>
                        <w:rPr>
                          <w:rFonts w:ascii="Arial" w:hAnsi="Arial" w:cs="Arial"/>
                          <w:i/>
                          <w:iCs/>
                          <w:color w:val="4472C4" w:themeColor="accent1"/>
                          <w:sz w:val="20"/>
                          <w:szCs w:val="20"/>
                          <w:lang w:val="en-US"/>
                        </w:rPr>
                      </w:pPr>
                      <w:r w:rsidRPr="001F0584">
                        <w:rPr>
                          <w:rFonts w:ascii="Arial" w:hAnsi="Arial" w:cs="Arial"/>
                          <w:i/>
                          <w:iCs/>
                          <w:color w:val="4472C4" w:themeColor="accent1"/>
                          <w:sz w:val="20"/>
                          <w:szCs w:val="20"/>
                          <w:lang w:val="en-US"/>
                        </w:rPr>
                        <w:t xml:space="preserve">Location map of the </w:t>
                      </w:r>
                      <w:proofErr w:type="spellStart"/>
                      <w:r w:rsidRPr="001F0584">
                        <w:rPr>
                          <w:rFonts w:ascii="Arial" w:hAnsi="Arial" w:cs="Arial"/>
                          <w:i/>
                          <w:iCs/>
                          <w:color w:val="4472C4" w:themeColor="accent1"/>
                          <w:sz w:val="20"/>
                          <w:szCs w:val="20"/>
                          <w:lang w:val="en-US"/>
                        </w:rPr>
                        <w:t>Botilao</w:t>
                      </w:r>
                      <w:proofErr w:type="spellEnd"/>
                      <w:r w:rsidRPr="001F0584">
                        <w:rPr>
                          <w:rFonts w:ascii="Arial" w:hAnsi="Arial" w:cs="Arial"/>
                          <w:i/>
                          <w:iCs/>
                          <w:color w:val="4472C4" w:themeColor="accent1"/>
                          <w:sz w:val="20"/>
                          <w:szCs w:val="20"/>
                          <w:lang w:val="en-US"/>
                        </w:rPr>
                        <w:t xml:space="preserve"> Prospect in</w:t>
                      </w:r>
                      <w:r w:rsidR="00574C75">
                        <w:rPr>
                          <w:rFonts w:ascii="Arial" w:hAnsi="Arial" w:cs="Arial"/>
                          <w:i/>
                          <w:iCs/>
                          <w:color w:val="4472C4" w:themeColor="accent1"/>
                          <w:sz w:val="20"/>
                          <w:szCs w:val="20"/>
                          <w:lang w:val="en-US"/>
                        </w:rPr>
                        <w:t xml:space="preserve"> </w:t>
                      </w:r>
                      <w:r w:rsidRPr="001F0584">
                        <w:rPr>
                          <w:rFonts w:ascii="Arial" w:hAnsi="Arial" w:cs="Arial"/>
                          <w:i/>
                          <w:iCs/>
                          <w:color w:val="4472C4" w:themeColor="accent1"/>
                          <w:sz w:val="20"/>
                          <w:szCs w:val="20"/>
                          <w:lang w:val="en-US"/>
                        </w:rPr>
                        <w:t>Northern Luzon, Philippines</w:t>
                      </w:r>
                    </w:p>
                  </w:txbxContent>
                </v:textbox>
                <w10:wrap anchorx="margin"/>
              </v:shape>
            </w:pict>
          </mc:Fallback>
        </mc:AlternateContent>
      </w:r>
      <w:r w:rsidRPr="00574C75">
        <w:rPr>
          <w:rFonts w:ascii="Arial" w:hAnsi="Arial" w:cs="Arial"/>
        </w:rPr>
        <w:t>Historical exploration work conducted by Lepanto Consolidated Mining Inc. in the ‘70s includes drilling diamond bore holes and geochemical sampling along exploratory tunnels. A 1973 inspection and verification report by the Bureau of Mines</w:t>
      </w:r>
      <w:r w:rsidRPr="00574C75">
        <w:rPr>
          <w:rFonts w:ascii="Arial" w:hAnsi="Arial" w:cs="Arial"/>
        </w:rPr>
        <w:footnoteReference w:id="1"/>
      </w:r>
      <w:r w:rsidRPr="00574C75">
        <w:rPr>
          <w:rFonts w:ascii="Arial" w:hAnsi="Arial" w:cs="Arial"/>
        </w:rPr>
        <w:t xml:space="preserve"> indicated that Lepanto was able to delineate two (2) major ore zones striking northeast. Drilling and exploration tunnel works were concentrated around </w:t>
      </w:r>
      <w:proofErr w:type="spellStart"/>
      <w:r w:rsidRPr="00574C75">
        <w:rPr>
          <w:rFonts w:ascii="Arial" w:hAnsi="Arial" w:cs="Arial"/>
        </w:rPr>
        <w:t>Botilao</w:t>
      </w:r>
      <w:proofErr w:type="spellEnd"/>
      <w:r w:rsidRPr="00574C75">
        <w:rPr>
          <w:rFonts w:ascii="Arial" w:hAnsi="Arial" w:cs="Arial"/>
        </w:rPr>
        <w:t xml:space="preserve"> Creek, south of Pasil River. The report indicated tunnel samples with copper grades up to ~1%.</w:t>
      </w:r>
    </w:p>
    <w:p w14:paraId="6C55B4EC" w14:textId="0C9E7B15" w:rsidR="00574C75" w:rsidRPr="00574C75" w:rsidRDefault="00574C75" w:rsidP="00574C75">
      <w:pPr>
        <w:jc w:val="both"/>
        <w:rPr>
          <w:rFonts w:ascii="Arial" w:hAnsi="Arial" w:cs="Arial"/>
        </w:rPr>
      </w:pPr>
      <w:r w:rsidRPr="00574C75">
        <w:rPr>
          <w:rFonts w:ascii="Arial" w:hAnsi="Arial" w:cs="Arial"/>
        </w:rPr>
        <w:t xml:space="preserve">The result of historical exploration works and the current understanding of the MCB Deposit will provide the initial working model for the </w:t>
      </w:r>
      <w:proofErr w:type="spellStart"/>
      <w:r w:rsidRPr="00574C75">
        <w:rPr>
          <w:rFonts w:ascii="Arial" w:hAnsi="Arial" w:cs="Arial"/>
        </w:rPr>
        <w:t>Botilao</w:t>
      </w:r>
      <w:proofErr w:type="spellEnd"/>
      <w:r w:rsidRPr="00574C75">
        <w:rPr>
          <w:rFonts w:ascii="Arial" w:hAnsi="Arial" w:cs="Arial"/>
        </w:rPr>
        <w:t xml:space="preserve"> Prospect</w:t>
      </w:r>
      <w:r>
        <w:rPr>
          <w:rFonts w:ascii="Arial" w:hAnsi="Arial" w:cs="Arial"/>
        </w:rPr>
        <w:t>.</w:t>
      </w:r>
    </w:p>
    <w:p w14:paraId="4990F4E6" w14:textId="4D8A4506" w:rsidR="00D64186" w:rsidRDefault="00574C75" w:rsidP="00D64186">
      <w:pPr>
        <w:jc w:val="both"/>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5FA5B964" wp14:editId="70DC9F5F">
                <wp:simplePos x="0" y="0"/>
                <wp:positionH relativeFrom="column">
                  <wp:posOffset>-75125</wp:posOffset>
                </wp:positionH>
                <wp:positionV relativeFrom="paragraph">
                  <wp:posOffset>2465851</wp:posOffset>
                </wp:positionV>
                <wp:extent cx="3344545" cy="392430"/>
                <wp:effectExtent l="0" t="0" r="8255" b="7620"/>
                <wp:wrapSquare wrapText="bothSides"/>
                <wp:docPr id="673166827" name="Text Box 3"/>
                <wp:cNvGraphicFramePr/>
                <a:graphic xmlns:a="http://schemas.openxmlformats.org/drawingml/2006/main">
                  <a:graphicData uri="http://schemas.microsoft.com/office/word/2010/wordprocessingShape">
                    <wps:wsp>
                      <wps:cNvSpPr txBox="1"/>
                      <wps:spPr>
                        <a:xfrm>
                          <a:off x="0" y="0"/>
                          <a:ext cx="3344545" cy="392430"/>
                        </a:xfrm>
                        <a:prstGeom prst="rect">
                          <a:avLst/>
                        </a:prstGeom>
                        <a:solidFill>
                          <a:schemeClr val="lt1"/>
                        </a:solidFill>
                        <a:ln w="6350">
                          <a:noFill/>
                        </a:ln>
                      </wps:spPr>
                      <wps:txbx>
                        <w:txbxContent>
                          <w:p w14:paraId="474A6389" w14:textId="4BDBCA70" w:rsidR="002D4B7C" w:rsidRPr="002D4B7C" w:rsidRDefault="002D4B7C" w:rsidP="002D4B7C">
                            <w:pPr>
                              <w:jc w:val="center"/>
                              <w:rPr>
                                <w:rFonts w:ascii="Arial" w:hAnsi="Arial" w:cs="Arial"/>
                                <w:i/>
                                <w:iCs/>
                                <w:color w:val="4472C4" w:themeColor="accent1"/>
                                <w:sz w:val="20"/>
                                <w:szCs w:val="20"/>
                              </w:rPr>
                            </w:pPr>
                            <w:r w:rsidRPr="002D4B7C">
                              <w:rPr>
                                <w:rFonts w:ascii="Arial" w:hAnsi="Arial" w:cs="Arial"/>
                                <w:i/>
                                <w:iCs/>
                                <w:color w:val="4472C4" w:themeColor="accent1"/>
                                <w:sz w:val="20"/>
                                <w:szCs w:val="20"/>
                              </w:rPr>
                              <w:t xml:space="preserve">Location of the </w:t>
                            </w:r>
                            <w:proofErr w:type="spellStart"/>
                            <w:r w:rsidRPr="002D4B7C">
                              <w:rPr>
                                <w:rFonts w:ascii="Arial" w:hAnsi="Arial" w:cs="Arial"/>
                                <w:i/>
                                <w:iCs/>
                                <w:color w:val="4472C4" w:themeColor="accent1"/>
                                <w:sz w:val="20"/>
                                <w:szCs w:val="20"/>
                              </w:rPr>
                              <w:t>Botilao</w:t>
                            </w:r>
                            <w:proofErr w:type="spellEnd"/>
                            <w:r w:rsidRPr="002D4B7C">
                              <w:rPr>
                                <w:rFonts w:ascii="Arial" w:hAnsi="Arial" w:cs="Arial"/>
                                <w:i/>
                                <w:iCs/>
                                <w:color w:val="4472C4" w:themeColor="accent1"/>
                                <w:sz w:val="20"/>
                                <w:szCs w:val="20"/>
                              </w:rPr>
                              <w:t xml:space="preserve"> Tenement with respect to the MCB Tenement. </w:t>
                            </w:r>
                          </w:p>
                          <w:p w14:paraId="7B33E46A" w14:textId="77777777" w:rsidR="002D4B7C" w:rsidRDefault="002D4B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5B964" id="Text Box 3" o:spid="_x0000_s1027" type="#_x0000_t202" style="position:absolute;left:0;text-align:left;margin-left:-5.9pt;margin-top:194.15pt;width:263.35pt;height:3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" fillcolor="white [3201]" stroked="f" strokeweight=".5pt">
                <v:textbox>
                  <w:txbxContent>
                    <w:p w14:paraId="474A6389" w14:textId="4BDBCA70" w:rsidR="002D4B7C" w:rsidRPr="002D4B7C" w:rsidRDefault="002D4B7C" w:rsidP="002D4B7C">
                      <w:pPr>
                        <w:jc w:val="center"/>
                        <w:rPr>
                          <w:rFonts w:ascii="Arial" w:hAnsi="Arial" w:cs="Arial"/>
                          <w:i/>
                          <w:iCs/>
                          <w:color w:val="4472C4" w:themeColor="accent1"/>
                          <w:sz w:val="20"/>
                          <w:szCs w:val="20"/>
                        </w:rPr>
                      </w:pPr>
                      <w:r w:rsidRPr="002D4B7C">
                        <w:rPr>
                          <w:rFonts w:ascii="Arial" w:hAnsi="Arial" w:cs="Arial"/>
                          <w:i/>
                          <w:iCs/>
                          <w:color w:val="4472C4" w:themeColor="accent1"/>
                          <w:sz w:val="20"/>
                          <w:szCs w:val="20"/>
                        </w:rPr>
                        <w:t xml:space="preserve">Location of the </w:t>
                      </w:r>
                      <w:proofErr w:type="spellStart"/>
                      <w:r w:rsidRPr="002D4B7C">
                        <w:rPr>
                          <w:rFonts w:ascii="Arial" w:hAnsi="Arial" w:cs="Arial"/>
                          <w:i/>
                          <w:iCs/>
                          <w:color w:val="4472C4" w:themeColor="accent1"/>
                          <w:sz w:val="20"/>
                          <w:szCs w:val="20"/>
                        </w:rPr>
                        <w:t>Botilao</w:t>
                      </w:r>
                      <w:proofErr w:type="spellEnd"/>
                      <w:r w:rsidRPr="002D4B7C">
                        <w:rPr>
                          <w:rFonts w:ascii="Arial" w:hAnsi="Arial" w:cs="Arial"/>
                          <w:i/>
                          <w:iCs/>
                          <w:color w:val="4472C4" w:themeColor="accent1"/>
                          <w:sz w:val="20"/>
                          <w:szCs w:val="20"/>
                        </w:rPr>
                        <w:t xml:space="preserve"> Tenement with respect to the MCB Tenement. </w:t>
                      </w:r>
                    </w:p>
                    <w:p w14:paraId="7B33E46A" w14:textId="77777777" w:rsidR="002D4B7C" w:rsidRDefault="002D4B7C"/>
                  </w:txbxContent>
                </v:textbox>
                <w10:wrap type="square"/>
              </v:shape>
            </w:pict>
          </mc:Fallback>
        </mc:AlternateContent>
      </w:r>
      <w:r w:rsidRPr="00386956">
        <w:rPr>
          <w:rFonts w:ascii="Avenir Next LT Pro" w:hAnsi="Avenir Next LT Pro" w:cs="Calibri"/>
          <w:i/>
          <w:iCs/>
          <w:noProof/>
          <w:color w:val="446092"/>
          <w:szCs w:val="20"/>
          <w:lang w:val="en-AU"/>
        </w:rPr>
        <w:drawing>
          <wp:anchor distT="0" distB="0" distL="114300" distR="114300" simplePos="0" relativeHeight="251660288" behindDoc="0" locked="0" layoutInCell="1" allowOverlap="1" wp14:anchorId="01F4B035" wp14:editId="783EE989">
            <wp:simplePos x="0" y="0"/>
            <wp:positionH relativeFrom="column">
              <wp:posOffset>-93296</wp:posOffset>
            </wp:positionH>
            <wp:positionV relativeFrom="paragraph">
              <wp:posOffset>23495</wp:posOffset>
            </wp:positionV>
            <wp:extent cx="3343910" cy="2413000"/>
            <wp:effectExtent l="19050" t="19050" r="27940" b="25400"/>
            <wp:wrapSquare wrapText="bothSides"/>
            <wp:docPr id="846838491" name="Picture 1" descr="A map of land with yellow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38491" name="Picture 1" descr="A map of land with yellow area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43910" cy="24130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D64186">
        <w:rPr>
          <w:rFonts w:ascii="Arial" w:hAnsi="Arial" w:cs="Arial"/>
        </w:rPr>
        <w:t>Exploration permit was granted on 4 August 2023 for a period two years.  Exploration works will consist of regional to semi-detailed geochemical sampling and mapping to generate future targets for possible geophysical surveys and eventual diamond drilling activities.</w:t>
      </w:r>
      <w:r w:rsidR="002D4B7C">
        <w:rPr>
          <w:rFonts w:ascii="Arial" w:hAnsi="Arial" w:cs="Arial"/>
        </w:rPr>
        <w:t xml:space="preserve"> Mapping of different rock types or lithologies in the area will be conducted to characterize and delineate mineralised or altered zones. Detailed mapping will focus on identified mineralised outcrops to ensure proper understanding of the classification and controls of mineralisation.</w:t>
      </w:r>
    </w:p>
    <w:p w14:paraId="3B664245" w14:textId="3155F72A" w:rsidR="00574C75" w:rsidRDefault="00574C75" w:rsidP="00D64186">
      <w:pPr>
        <w:jc w:val="both"/>
        <w:rPr>
          <w:rFonts w:ascii="Arial" w:hAnsi="Arial" w:cs="Arial"/>
        </w:rPr>
      </w:pPr>
    </w:p>
    <w:p w14:paraId="26756B8F" w14:textId="49F7DE99" w:rsidR="002D4B7C" w:rsidRPr="00D64186" w:rsidRDefault="00574C75" w:rsidP="00D64186">
      <w:pPr>
        <w:jc w:val="both"/>
        <w:rPr>
          <w:rFonts w:ascii="Arial" w:hAnsi="Arial" w:cs="Arial"/>
        </w:rPr>
      </w:pPr>
      <w:r>
        <w:rPr>
          <w:rFonts w:ascii="Arial" w:hAnsi="Arial" w:cs="Arial"/>
          <w:noProof/>
        </w:rPr>
        <w:drawing>
          <wp:anchor distT="0" distB="0" distL="114300" distR="114300" simplePos="0" relativeHeight="251662336" behindDoc="1" locked="0" layoutInCell="1" allowOverlap="1" wp14:anchorId="3E405336" wp14:editId="7A5CC628">
            <wp:simplePos x="0" y="0"/>
            <wp:positionH relativeFrom="column">
              <wp:posOffset>188595</wp:posOffset>
            </wp:positionH>
            <wp:positionV relativeFrom="paragraph">
              <wp:posOffset>68873</wp:posOffset>
            </wp:positionV>
            <wp:extent cx="5648736" cy="1606071"/>
            <wp:effectExtent l="0" t="0" r="0" b="0"/>
            <wp:wrapNone/>
            <wp:docPr id="17126069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8736" cy="1606071"/>
                    </a:xfrm>
                    <a:prstGeom prst="rect">
                      <a:avLst/>
                    </a:prstGeom>
                    <a:noFill/>
                  </pic:spPr>
                </pic:pic>
              </a:graphicData>
            </a:graphic>
          </wp:anchor>
        </w:drawing>
      </w:r>
    </w:p>
    <w:sectPr w:rsidR="002D4B7C" w:rsidRPr="00D64186" w:rsidSect="00574C75">
      <w:headerReference w:type="default" r:id="rId9"/>
      <w:pgSz w:w="11906" w:h="16838" w:code="9"/>
      <w:pgMar w:top="1440"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46A68" w14:textId="77777777" w:rsidR="00B57525" w:rsidRDefault="00B57525" w:rsidP="00D64186">
      <w:pPr>
        <w:spacing w:after="0" w:line="240" w:lineRule="auto"/>
      </w:pPr>
      <w:r>
        <w:separator/>
      </w:r>
    </w:p>
  </w:endnote>
  <w:endnote w:type="continuationSeparator" w:id="0">
    <w:p w14:paraId="2524D833" w14:textId="77777777" w:rsidR="00B57525" w:rsidRDefault="00B57525" w:rsidP="00D64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2612D" w14:textId="77777777" w:rsidR="00B57525" w:rsidRDefault="00B57525" w:rsidP="00D64186">
      <w:pPr>
        <w:spacing w:after="0" w:line="240" w:lineRule="auto"/>
      </w:pPr>
      <w:r>
        <w:separator/>
      </w:r>
    </w:p>
  </w:footnote>
  <w:footnote w:type="continuationSeparator" w:id="0">
    <w:p w14:paraId="0F226102" w14:textId="77777777" w:rsidR="00B57525" w:rsidRDefault="00B57525" w:rsidP="00D64186">
      <w:pPr>
        <w:spacing w:after="0" w:line="240" w:lineRule="auto"/>
      </w:pPr>
      <w:r>
        <w:continuationSeparator/>
      </w:r>
    </w:p>
  </w:footnote>
  <w:footnote w:id="1">
    <w:p w14:paraId="57BE9BF6" w14:textId="77777777" w:rsidR="00574C75" w:rsidRPr="00F97938" w:rsidRDefault="00574C75" w:rsidP="00574C75">
      <w:pPr>
        <w:pStyle w:val="FootnoteText"/>
        <w:rPr>
          <w:rFonts w:ascii="Avenir Next LT Pro" w:hAnsi="Avenir Next LT Pro"/>
        </w:rPr>
      </w:pPr>
      <w:r w:rsidRPr="00F97938">
        <w:rPr>
          <w:rStyle w:val="FootnoteReference"/>
          <w:rFonts w:ascii="Avenir Next LT Pro" w:hAnsi="Avenir Next LT Pro"/>
        </w:rPr>
        <w:footnoteRef/>
      </w:r>
      <w:r w:rsidRPr="00F97938">
        <w:rPr>
          <w:rFonts w:ascii="Avenir Next LT Pro" w:hAnsi="Avenir Next LT Pro"/>
        </w:rPr>
        <w:t xml:space="preserve"> </w:t>
      </w:r>
      <w:proofErr w:type="spellStart"/>
      <w:r w:rsidRPr="00574C75">
        <w:rPr>
          <w:rFonts w:ascii="Avenir Next LT Pro" w:hAnsi="Avenir Next LT Pro"/>
          <w:sz w:val="18"/>
          <w:szCs w:val="18"/>
        </w:rPr>
        <w:t>Almogela</w:t>
      </w:r>
      <w:proofErr w:type="spellEnd"/>
      <w:r w:rsidRPr="00574C75">
        <w:rPr>
          <w:rFonts w:ascii="Avenir Next LT Pro" w:hAnsi="Avenir Next LT Pro"/>
          <w:sz w:val="18"/>
          <w:szCs w:val="18"/>
        </w:rPr>
        <w:t>, D. H. (1973) Report on the Inspection and Verification of the Exploration Activities of Lepanto Consolidated Mining Company, Bureau of Mines, 16-18 March 1973.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3B142" w14:textId="1BCD7469" w:rsidR="00D64186" w:rsidRDefault="00D64186">
    <w:pPr>
      <w:pStyle w:val="Header"/>
    </w:pPr>
    <w:r>
      <w:rPr>
        <w:noProof/>
      </w:rPr>
      <w:drawing>
        <wp:anchor distT="0" distB="0" distL="114300" distR="114300" simplePos="0" relativeHeight="251658240" behindDoc="1" locked="0" layoutInCell="1" allowOverlap="1" wp14:anchorId="33F7AC33" wp14:editId="6DFA6C73">
          <wp:simplePos x="0" y="0"/>
          <wp:positionH relativeFrom="margin">
            <wp:align>left</wp:align>
          </wp:positionH>
          <wp:positionV relativeFrom="paragraph">
            <wp:posOffset>-75565</wp:posOffset>
          </wp:positionV>
          <wp:extent cx="1751960" cy="538503"/>
          <wp:effectExtent l="0" t="0" r="1270" b="0"/>
          <wp:wrapNone/>
          <wp:docPr id="1190762663" name="Picture 1" descr="A blue and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62663" name="Picture 1" descr="A blue and green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51960" cy="538503"/>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186"/>
    <w:rsid w:val="000C4AF5"/>
    <w:rsid w:val="001F0584"/>
    <w:rsid w:val="002D4B7C"/>
    <w:rsid w:val="00574C75"/>
    <w:rsid w:val="0063362C"/>
    <w:rsid w:val="00B57525"/>
    <w:rsid w:val="00D64186"/>
    <w:rsid w:val="00ED1F2F"/>
    <w:rsid w:val="00EE659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5B42B"/>
  <w15:chartTrackingRefBased/>
  <w15:docId w15:val="{EB8EF8E5-DFD8-47C0-A022-D75A2D605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41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186"/>
  </w:style>
  <w:style w:type="paragraph" w:styleId="Footer">
    <w:name w:val="footer"/>
    <w:basedOn w:val="Normal"/>
    <w:link w:val="FooterChar"/>
    <w:uiPriority w:val="99"/>
    <w:unhideWhenUsed/>
    <w:rsid w:val="00D641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4186"/>
  </w:style>
  <w:style w:type="paragraph" w:styleId="Caption">
    <w:name w:val="caption"/>
    <w:basedOn w:val="Normal"/>
    <w:next w:val="Normal"/>
    <w:uiPriority w:val="35"/>
    <w:unhideWhenUsed/>
    <w:qFormat/>
    <w:rsid w:val="001F0584"/>
    <w:pPr>
      <w:spacing w:after="200" w:line="240" w:lineRule="auto"/>
    </w:pPr>
    <w:rPr>
      <w:rFonts w:ascii="Arial" w:hAnsi="Arial"/>
      <w:i/>
      <w:iCs/>
      <w:color w:val="44546A" w:themeColor="text2"/>
      <w:kern w:val="0"/>
      <w:sz w:val="18"/>
      <w:szCs w:val="18"/>
      <w:lang w:val="en-US"/>
      <w14:ligatures w14:val="none"/>
    </w:rPr>
  </w:style>
  <w:style w:type="character" w:styleId="FootnoteReference">
    <w:name w:val="footnote reference"/>
    <w:basedOn w:val="DefaultParagraphFont"/>
    <w:uiPriority w:val="99"/>
    <w:semiHidden/>
    <w:unhideWhenUsed/>
    <w:rsid w:val="00574C75"/>
    <w:rPr>
      <w:vertAlign w:val="superscript"/>
    </w:rPr>
  </w:style>
  <w:style w:type="paragraph" w:styleId="FootnoteText">
    <w:name w:val="footnote text"/>
    <w:basedOn w:val="Normal"/>
    <w:link w:val="FootnoteTextChar"/>
    <w:uiPriority w:val="99"/>
    <w:semiHidden/>
    <w:unhideWhenUsed/>
    <w:rsid w:val="00574C75"/>
    <w:pPr>
      <w:spacing w:after="0" w:line="240" w:lineRule="auto"/>
    </w:pPr>
    <w:rPr>
      <w:rFonts w:ascii="Arial" w:hAnsi="Arial"/>
      <w:kern w:val="0"/>
      <w:sz w:val="20"/>
      <w:szCs w:val="20"/>
      <w:lang w:val="en-US"/>
      <w14:ligatures w14:val="none"/>
    </w:rPr>
  </w:style>
  <w:style w:type="character" w:customStyle="1" w:styleId="FootnoteTextChar">
    <w:name w:val="Footnote Text Char"/>
    <w:basedOn w:val="DefaultParagraphFont"/>
    <w:link w:val="FootnoteText"/>
    <w:uiPriority w:val="99"/>
    <w:semiHidden/>
    <w:rsid w:val="00574C75"/>
    <w:rPr>
      <w:rFonts w:ascii="Arial" w:hAnsi="Arial"/>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236</Words>
  <Characters>1346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Rola</dc:creator>
  <cp:keywords/>
  <dc:description/>
  <cp:lastModifiedBy>Judy Rola</cp:lastModifiedBy>
  <cp:revision>2</cp:revision>
  <dcterms:created xsi:type="dcterms:W3CDTF">2023-08-02T08:06:00Z</dcterms:created>
  <dcterms:modified xsi:type="dcterms:W3CDTF">2023-08-04T04:32:00Z</dcterms:modified>
</cp:coreProperties>
</file>